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7BF1" w14:textId="77777777" w:rsidR="00C8048E" w:rsidRPr="00C47CDB" w:rsidRDefault="00C8048E">
      <w:pPr>
        <w:pStyle w:val="a6"/>
        <w:ind w:firstLine="4819"/>
        <w:rPr>
          <w:rFonts w:ascii="Arial" w:hAnsi="Arial" w:cs="Arial"/>
          <w:sz w:val="24"/>
          <w:szCs w:val="24"/>
        </w:rPr>
      </w:pPr>
    </w:p>
    <w:p w14:paraId="3BFE7BF2" w14:textId="77777777" w:rsidR="00C8048E" w:rsidRPr="00C47CDB" w:rsidRDefault="00C47CDB">
      <w:pPr>
        <w:pStyle w:val="a6"/>
        <w:ind w:firstLine="4819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 xml:space="preserve">ЗАТВЕРДЖУЮ </w:t>
      </w:r>
    </w:p>
    <w:p w14:paraId="3BFE7BF3" w14:textId="77777777" w:rsidR="00C8048E" w:rsidRPr="00C47CDB" w:rsidRDefault="00C47CDB">
      <w:pPr>
        <w:pStyle w:val="a6"/>
        <w:ind w:firstLine="4819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 xml:space="preserve">Голова ___________________ </w:t>
      </w:r>
    </w:p>
    <w:p w14:paraId="3BFE7BF4" w14:textId="77777777" w:rsidR="00C8048E" w:rsidRPr="00C47CDB" w:rsidRDefault="00C47CDB">
      <w:pPr>
        <w:pStyle w:val="a6"/>
        <w:ind w:firstLine="4819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 xml:space="preserve">«____» ___________________ 20___ року </w:t>
      </w:r>
    </w:p>
    <w:p w14:paraId="3BFE7BF5" w14:textId="77777777" w:rsidR="00C8048E" w:rsidRPr="00C47CDB" w:rsidRDefault="00C8048E">
      <w:pPr>
        <w:pStyle w:val="a6"/>
        <w:rPr>
          <w:rFonts w:ascii="Arial" w:hAnsi="Arial" w:cs="Arial"/>
          <w:sz w:val="24"/>
          <w:szCs w:val="24"/>
        </w:rPr>
      </w:pPr>
    </w:p>
    <w:p w14:paraId="3BFE7BF6" w14:textId="77777777" w:rsidR="00C8048E" w:rsidRPr="00C47CDB" w:rsidRDefault="00C8048E">
      <w:pPr>
        <w:pStyle w:val="a6"/>
        <w:rPr>
          <w:rFonts w:ascii="Arial" w:hAnsi="Arial" w:cs="Arial"/>
          <w:sz w:val="24"/>
          <w:szCs w:val="24"/>
        </w:rPr>
      </w:pPr>
    </w:p>
    <w:p w14:paraId="3BFE7BF7" w14:textId="77777777" w:rsidR="00C8048E" w:rsidRPr="00C47CDB" w:rsidRDefault="00C47CDB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C47CDB">
        <w:rPr>
          <w:rFonts w:ascii="Arial" w:hAnsi="Arial" w:cs="Arial"/>
          <w:b/>
          <w:bCs/>
          <w:sz w:val="24"/>
          <w:szCs w:val="24"/>
        </w:rPr>
        <w:t xml:space="preserve">ПОСАДОВА ІНСТРУКЦІЯ </w:t>
      </w:r>
    </w:p>
    <w:p w14:paraId="3BFE7BF8" w14:textId="36FDA452" w:rsidR="00C8048E" w:rsidRPr="00C47CDB" w:rsidRDefault="00C47CDB">
      <w:pPr>
        <w:pStyle w:val="a6"/>
        <w:jc w:val="center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Начальника сектору, державн</w:t>
      </w:r>
      <w:r w:rsidR="004B5BDA">
        <w:rPr>
          <w:rFonts w:ascii="Arial" w:hAnsi="Arial" w:cs="Arial"/>
          <w:sz w:val="24"/>
          <w:szCs w:val="24"/>
        </w:rPr>
        <w:t>ого</w:t>
      </w:r>
      <w:r w:rsidRPr="00C47CDB">
        <w:rPr>
          <w:rFonts w:ascii="Arial" w:hAnsi="Arial" w:cs="Arial"/>
          <w:sz w:val="24"/>
          <w:szCs w:val="24"/>
        </w:rPr>
        <w:t xml:space="preserve"> інспектор</w:t>
      </w:r>
      <w:r w:rsidR="004B5BDA">
        <w:rPr>
          <w:rFonts w:ascii="Arial" w:hAnsi="Arial" w:cs="Arial"/>
          <w:sz w:val="24"/>
          <w:szCs w:val="24"/>
        </w:rPr>
        <w:t>а</w:t>
      </w:r>
      <w:r w:rsidRPr="00C47CDB">
        <w:rPr>
          <w:rFonts w:ascii="Arial" w:hAnsi="Arial" w:cs="Arial"/>
          <w:sz w:val="24"/>
          <w:szCs w:val="24"/>
        </w:rPr>
        <w:t xml:space="preserve"> з державного контролю </w:t>
      </w:r>
    </w:p>
    <w:p w14:paraId="3BFE7BF9" w14:textId="77777777" w:rsidR="00C8048E" w:rsidRPr="00C47CDB" w:rsidRDefault="00C47CDB">
      <w:pPr>
        <w:pStyle w:val="a6"/>
        <w:jc w:val="center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 xml:space="preserve">за використанням та охороною земель </w:t>
      </w:r>
    </w:p>
    <w:p w14:paraId="3BFE7BFA" w14:textId="222E83F9" w:rsidR="00C8048E" w:rsidRPr="00C47CDB" w:rsidRDefault="00EB7374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C47CDB" w:rsidRPr="00C47CDB">
        <w:rPr>
          <w:rFonts w:ascii="Arial" w:hAnsi="Arial" w:cs="Arial"/>
          <w:sz w:val="24"/>
          <w:szCs w:val="24"/>
        </w:rPr>
        <w:t>емельного відділу ________________ ради</w:t>
      </w:r>
    </w:p>
    <w:p w14:paraId="3BFE7BFB" w14:textId="77777777" w:rsidR="00C8048E" w:rsidRPr="00C47CDB" w:rsidRDefault="00C8048E">
      <w:pPr>
        <w:pStyle w:val="a6"/>
        <w:rPr>
          <w:rFonts w:ascii="Arial" w:hAnsi="Arial" w:cs="Arial"/>
          <w:sz w:val="24"/>
          <w:szCs w:val="24"/>
        </w:rPr>
      </w:pPr>
    </w:p>
    <w:p w14:paraId="3BFE7BFC" w14:textId="77777777" w:rsidR="00C8048E" w:rsidRPr="00C47CDB" w:rsidRDefault="00C8048E">
      <w:pPr>
        <w:pStyle w:val="a6"/>
        <w:rPr>
          <w:rFonts w:ascii="Arial" w:hAnsi="Arial" w:cs="Arial"/>
          <w:sz w:val="24"/>
          <w:szCs w:val="24"/>
        </w:rPr>
      </w:pPr>
    </w:p>
    <w:p w14:paraId="3BFE7BFD" w14:textId="77777777" w:rsidR="00C8048E" w:rsidRPr="00C47CDB" w:rsidRDefault="00C8048E">
      <w:pPr>
        <w:pStyle w:val="a6"/>
        <w:rPr>
          <w:rFonts w:ascii="Arial" w:hAnsi="Arial" w:cs="Arial"/>
          <w:sz w:val="24"/>
          <w:szCs w:val="24"/>
        </w:rPr>
      </w:pPr>
    </w:p>
    <w:p w14:paraId="3BFE7BFE" w14:textId="77777777" w:rsidR="00C8048E" w:rsidRPr="00C47CDB" w:rsidRDefault="00C47CDB">
      <w:pPr>
        <w:pStyle w:val="a6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47CDB">
        <w:rPr>
          <w:rFonts w:ascii="Arial" w:hAnsi="Arial" w:cs="Arial"/>
          <w:b/>
          <w:bCs/>
          <w:caps/>
          <w:sz w:val="24"/>
          <w:szCs w:val="24"/>
        </w:rPr>
        <w:t xml:space="preserve">Загальні положення </w:t>
      </w:r>
    </w:p>
    <w:p w14:paraId="3BFE7BFF" w14:textId="77777777" w:rsidR="00C8048E" w:rsidRPr="00C47CDB" w:rsidRDefault="00C8048E">
      <w:pPr>
        <w:pStyle w:val="a6"/>
        <w:rPr>
          <w:rFonts w:ascii="Arial" w:hAnsi="Arial" w:cs="Arial"/>
          <w:sz w:val="24"/>
          <w:szCs w:val="24"/>
        </w:rPr>
      </w:pPr>
    </w:p>
    <w:p w14:paraId="3BFE7C00" w14:textId="11A8637A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1. Начальник сектору, державни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 інспектор з державного контролю за використанням та охороною земель земельного відділу ______________ ради є посадовою особою органу місцевого самоврядування, призначається на посаду та звільняється з посади міським головою відповідно до вимог чинного законодавства. </w:t>
      </w:r>
    </w:p>
    <w:p w14:paraId="3BFE7C01" w14:textId="1BCA18F6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2. Начальник сектору безпосередньо підпорядковани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 начальнику земельного відділу _____________ ради. </w:t>
      </w:r>
    </w:p>
    <w:p w14:paraId="3BFE7C02" w14:textId="2BCE9FCD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 xml:space="preserve">3. На період відсутності начальника сектору, державного інспектора з державного контролю за використанням та охороною земель (перебування у відрядженні, відпустці, на лікарняному тощо) 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>ого обов’язки виконує головни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 спеціаліст даного сектору. </w:t>
      </w:r>
    </w:p>
    <w:p w14:paraId="3BFE7C03" w14:textId="1397BE12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4. У сво</w:t>
      </w:r>
      <w:r w:rsidR="00F37BDC" w:rsidRPr="00C47CDB">
        <w:rPr>
          <w:rFonts w:ascii="Arial" w:hAnsi="Arial" w:cs="Arial"/>
          <w:sz w:val="24"/>
          <w:szCs w:val="24"/>
        </w:rPr>
        <w:t>їй</w:t>
      </w:r>
      <w:r w:rsidRPr="00C47CDB">
        <w:rPr>
          <w:rFonts w:ascii="Arial" w:hAnsi="Arial" w:cs="Arial"/>
          <w:sz w:val="24"/>
          <w:szCs w:val="24"/>
        </w:rPr>
        <w:t xml:space="preserve"> діяльності начальник сектору керується Конституцією Укра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>ни, законами Укра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>ни, постановами Верховно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Ради Укра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>ни, актами Президента Укра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>ни і Кабінету Міністрів Укра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>ни, наказами, рішеннями місько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ради та </w:t>
      </w:r>
      <w:r w:rsidR="00F37BDC" w:rsidRPr="00C47CDB">
        <w:rPr>
          <w:rFonts w:ascii="Arial" w:hAnsi="Arial" w:cs="Arial"/>
          <w:sz w:val="24"/>
          <w:szCs w:val="24"/>
        </w:rPr>
        <w:t>її</w:t>
      </w:r>
      <w:r w:rsidRPr="00C47CDB">
        <w:rPr>
          <w:rFonts w:ascii="Arial" w:hAnsi="Arial" w:cs="Arial"/>
          <w:sz w:val="24"/>
          <w:szCs w:val="24"/>
        </w:rPr>
        <w:t xml:space="preserve"> виконавчого комітету, розпорядженнями _______ голови, цією посадовою інструкцією, а також іншими нормативно-правовими актами. </w:t>
      </w:r>
    </w:p>
    <w:p w14:paraId="3BFE7C04" w14:textId="77777777" w:rsidR="00C8048E" w:rsidRPr="00C47CDB" w:rsidRDefault="00C8048E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14:paraId="3BFE7C05" w14:textId="77777777" w:rsidR="00C8048E" w:rsidRPr="00C47CDB" w:rsidRDefault="00C47CDB">
      <w:pPr>
        <w:pStyle w:val="a6"/>
        <w:ind w:firstLine="567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47CDB">
        <w:rPr>
          <w:rFonts w:ascii="Arial" w:hAnsi="Arial" w:cs="Arial"/>
          <w:b/>
          <w:bCs/>
          <w:caps/>
          <w:sz w:val="24"/>
          <w:szCs w:val="24"/>
        </w:rPr>
        <w:t xml:space="preserve">Завдання, обов'язки та повноваження </w:t>
      </w:r>
    </w:p>
    <w:p w14:paraId="3BFE7C06" w14:textId="77777777" w:rsidR="00C8048E" w:rsidRPr="00C47CDB" w:rsidRDefault="00C8048E">
      <w:pPr>
        <w:pStyle w:val="a6"/>
        <w:ind w:firstLine="567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3BFE7C07" w14:textId="51C99AD3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Начальник сектору, державни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 інспектор з державного контролю за використанням та охороною земель земельного відділу: </w:t>
      </w:r>
    </w:p>
    <w:p w14:paraId="3BFE7C08" w14:textId="77777777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 xml:space="preserve">1. Планує роботу сектору з питань державного контролю за використанням та охороною земель ___________ територіальної громади. </w:t>
      </w:r>
    </w:p>
    <w:p w14:paraId="3BFE7C09" w14:textId="53C8B84B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2. Зді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>снює загальне керівництво діяльністю сектору та несе персональну відповідальність за виконання покладених на сектор завдань, організовує, координує та контролює роботу посадових осіб сектору, аналізує стан виконавсько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дисципліни у секторі. </w:t>
      </w:r>
    </w:p>
    <w:p w14:paraId="3BFE7C0A" w14:textId="5F12963C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3. Бере участь у розробленні та реалізаці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цільових програм та документаці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із землеустрою щодо використання та охорони земель. </w:t>
      </w:r>
    </w:p>
    <w:p w14:paraId="3BFE7C0B" w14:textId="18698DB9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4. Організовує державни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 контроль за використанням та охороною земель на землях комунально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власності на територі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_____________ територіальної громади у частині: </w:t>
      </w:r>
    </w:p>
    <w:p w14:paraId="3BFE7C0C" w14:textId="77777777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 xml:space="preserve">- виконання власниками і користувачами земель комплексу необхідних заходів із захисту земель від заростання бур'янами, чагарниками; </w:t>
      </w:r>
    </w:p>
    <w:p w14:paraId="3BFE7C0D" w14:textId="4715B6DF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- дотримання режиму експлуатаці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протиерозі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них, гідротехнічних споруд, а також вимог законодавства щодо збереження захисних насаджень і межових знаків; </w:t>
      </w:r>
    </w:p>
    <w:p w14:paraId="3BFE7C0E" w14:textId="17D82637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 xml:space="preserve">- виконання землевласниками та землекористувачами вимог щодо використання земель за цільовим призначенням, розміщенням, проектуванням, будівництвом, </w:t>
      </w:r>
      <w:r w:rsidRPr="00C47CDB">
        <w:rPr>
          <w:rFonts w:ascii="Arial" w:hAnsi="Arial" w:cs="Arial"/>
          <w:sz w:val="24"/>
          <w:szCs w:val="24"/>
        </w:rPr>
        <w:lastRenderedPageBreak/>
        <w:t>введенням в дію об'єктів, що негативно впливають на стан земель, експлуатацією, збереженням протиерозі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них, гідротехнічних споруд, захисних лісонасаджень. </w:t>
      </w:r>
    </w:p>
    <w:p w14:paraId="3BFE7C0F" w14:textId="6A754145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5. При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>має участь у підготовці та направлені для розгляду відповідним органам пропозиці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 щодо: </w:t>
      </w:r>
    </w:p>
    <w:p w14:paraId="3BFE7C10" w14:textId="0DD3E066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- приведення у відповідність із законодавством при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нятих ними рішень з питань регулювання земельних відносин, використання та охорони земель; </w:t>
      </w:r>
    </w:p>
    <w:p w14:paraId="3BFE7C11" w14:textId="7E6BF884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- припинення будівництва та експлуатаці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об'єктів у разі порушення вимог земельного законодавства Укра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>ни до повного усунення виявлених порушень і ліквідаці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х наслідків; </w:t>
      </w:r>
    </w:p>
    <w:p w14:paraId="3BFE7C12" w14:textId="77777777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 xml:space="preserve">- припинення права користування земельною ділянкою відповідно до закону. </w:t>
      </w:r>
    </w:p>
    <w:p w14:paraId="3BFE7C13" w14:textId="63386042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6. Розглядає звернення громадян щодо земельних спорів; підготовку матеріалів на засідання комісі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з вирішення земельних спорів; ведення протоколу комісі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>; підготовку витягів з протоколу засідання комісі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. </w:t>
      </w:r>
    </w:p>
    <w:p w14:paraId="3BFE7C14" w14:textId="77777777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 xml:space="preserve">7. Розглядає заяви, скарги та інші звернення юридичних та фізичних осіб з питань використання та охорони земель. </w:t>
      </w:r>
    </w:p>
    <w:p w14:paraId="3BFE7C15" w14:textId="5E800B1A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8. При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>має участь у комісі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ному розгляді звернень громадян щодо земельних спорів. </w:t>
      </w:r>
    </w:p>
    <w:p w14:paraId="3BFE7C16" w14:textId="2196A1BE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9. Аналізує та вживає, в межах компетенці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, заходів по забезпеченню надходження коштів до бюджету </w:t>
      </w:r>
      <w:r w:rsidR="00C437A1">
        <w:rPr>
          <w:rFonts w:ascii="Arial" w:hAnsi="Arial" w:cs="Arial"/>
          <w:sz w:val="24"/>
          <w:szCs w:val="24"/>
        </w:rPr>
        <w:t>___</w:t>
      </w:r>
      <w:r w:rsidRPr="00C47CDB">
        <w:rPr>
          <w:rFonts w:ascii="Arial" w:hAnsi="Arial" w:cs="Arial"/>
          <w:sz w:val="24"/>
          <w:szCs w:val="24"/>
        </w:rPr>
        <w:t xml:space="preserve"> місько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територіально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громади від використання </w:t>
      </w:r>
    </w:p>
    <w:p w14:paraId="3BFE7C17" w14:textId="4A1FA85F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земельних ділянок комунально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власності на територі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</w:t>
      </w:r>
      <w:r w:rsidR="00C437A1">
        <w:rPr>
          <w:rFonts w:ascii="Arial" w:hAnsi="Arial" w:cs="Arial"/>
          <w:sz w:val="24"/>
          <w:szCs w:val="24"/>
        </w:rPr>
        <w:t>___</w:t>
      </w:r>
      <w:r w:rsidRPr="00C47CDB">
        <w:rPr>
          <w:rFonts w:ascii="Arial" w:hAnsi="Arial" w:cs="Arial"/>
          <w:sz w:val="24"/>
          <w:szCs w:val="24"/>
        </w:rPr>
        <w:t xml:space="preserve"> місько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територіально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громади шляхом: </w:t>
      </w:r>
    </w:p>
    <w:p w14:paraId="3BFE7C18" w14:textId="608FD5C1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- визначення та повернення безпідставно збережених коштів, завданих ______________ територіальні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 громаді збитків користувачами земельних ділянок; </w:t>
      </w:r>
    </w:p>
    <w:p w14:paraId="3BFE7C19" w14:textId="2C7ED336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- ведення претензі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>но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роботи з питань використання на територі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___________ територіально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громади земельних ділянок без правовстановлюючих документів. </w:t>
      </w:r>
    </w:p>
    <w:p w14:paraId="3BFE7C1A" w14:textId="0BC952F5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10. Взаємодіє з органом виконавчо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влади, що реалізує державну політику у сфері земельних відносин, в т.ч. у разі виявлення ознак порушення земельного законодавства внесення пропозиці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 про проведення відповідних перевірок та вжиття необхідних заходів. </w:t>
      </w:r>
    </w:p>
    <w:p w14:paraId="3BFE7C1B" w14:textId="5C3E2265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11. Готує за участю спеціалістів, звернення до суду з позовами про відшкодування втрат сільськогосподарського та лісогосподарського виробництва, повернення самовільно чи тимчасово за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>нятих ділянок, строк користування яких закінчився, по відшкодуванню шкоди, заподіяно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внаслідок самовільно за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>няття земельних ділянок, використання земельних ділянок не за цільовим призначенням, на територі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_____________ територіально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громади. </w:t>
      </w:r>
    </w:p>
    <w:p w14:paraId="3BFE7C1C" w14:textId="77777777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 xml:space="preserve">12. Розглядає інші питання у галузі земельних відносин відповідно до чинного законодавства. </w:t>
      </w:r>
    </w:p>
    <w:p w14:paraId="3BFE7C1D" w14:textId="5EEC90A2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13. Зді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снює інші повноваження відповідно до закону. </w:t>
      </w:r>
    </w:p>
    <w:p w14:paraId="3BFE7C1E" w14:textId="1D508FD9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14. Начальник сектору зобов'язани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: </w:t>
      </w:r>
    </w:p>
    <w:p w14:paraId="3BFE7C1F" w14:textId="5CE9DCD7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- пості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>но вдосконалювати організацію своє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роботи та роботи відділу і підвищувати свою професі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>ну кваліфікацію;</w:t>
      </w:r>
    </w:p>
    <w:p w14:paraId="3BFE7C20" w14:textId="5383E2C9" w:rsidR="00C8048E" w:rsidRPr="00C47CDB" w:rsidRDefault="00C47CDB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пості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>но спрямовувати свою діяльність на удосконалення управлінсько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діяльності шляхом конструктивного вирішення питань, що належать до 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>ого компетенці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>;</w:t>
      </w:r>
    </w:p>
    <w:p w14:paraId="3BFE7C21" w14:textId="77777777" w:rsidR="00C8048E" w:rsidRPr="00C47CDB" w:rsidRDefault="00C47CDB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дотримуватись норм чинного законодавства та у разі необхідності відстоювати;</w:t>
      </w:r>
    </w:p>
    <w:p w14:paraId="3BFE7C22" w14:textId="77777777" w:rsidR="00C8048E" w:rsidRPr="00C47CDB" w:rsidRDefault="00C47CDB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принципи верховенства права та законності;</w:t>
      </w:r>
    </w:p>
    <w:p w14:paraId="3BFE7C23" w14:textId="77777777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-  дотримуватись правил внутрішнього трудового розпорядку;</w:t>
      </w:r>
    </w:p>
    <w:p w14:paraId="3BFE7C24" w14:textId="15AF3D2A" w:rsidR="00C8048E" w:rsidRPr="00C47CDB" w:rsidRDefault="00C47CDB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дотримуватись етичних норм поведінки посадових осіб органів місцевого самоврядування та обмежень, пов’язаних з при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няттям на службу в органи місцевого самоврядування та </w:t>
      </w:r>
      <w:r w:rsidR="00F37BDC" w:rsidRPr="00C47CDB">
        <w:rPr>
          <w:rFonts w:ascii="Arial" w:hAnsi="Arial" w:cs="Arial"/>
          <w:sz w:val="24"/>
          <w:szCs w:val="24"/>
        </w:rPr>
        <w:t>її</w:t>
      </w:r>
      <w:r w:rsidRPr="00C47CDB">
        <w:rPr>
          <w:rFonts w:ascii="Arial" w:hAnsi="Arial" w:cs="Arial"/>
          <w:sz w:val="24"/>
          <w:szCs w:val="24"/>
        </w:rPr>
        <w:t xml:space="preserve"> проходженням;</w:t>
      </w:r>
    </w:p>
    <w:p w14:paraId="3BFE7C25" w14:textId="77777777" w:rsidR="00C8048E" w:rsidRPr="00C47CDB" w:rsidRDefault="00C47CDB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lastRenderedPageBreak/>
        <w:t>якісно і своєчасно виконувати посадові обов’язки та завдання, покладених на нього.</w:t>
      </w:r>
    </w:p>
    <w:p w14:paraId="3BFE7C26" w14:textId="77777777" w:rsidR="00C8048E" w:rsidRPr="00C47CDB" w:rsidRDefault="00C8048E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14:paraId="3BFE7C27" w14:textId="77777777" w:rsidR="00C8048E" w:rsidRPr="00C47CDB" w:rsidRDefault="00C47CDB">
      <w:pPr>
        <w:pStyle w:val="a6"/>
        <w:ind w:firstLine="567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47CDB">
        <w:rPr>
          <w:rFonts w:ascii="Arial" w:hAnsi="Arial" w:cs="Arial"/>
          <w:b/>
          <w:bCs/>
          <w:caps/>
          <w:sz w:val="24"/>
          <w:szCs w:val="24"/>
        </w:rPr>
        <w:t xml:space="preserve">Права </w:t>
      </w:r>
    </w:p>
    <w:p w14:paraId="3BFE7C28" w14:textId="77777777" w:rsidR="00C8048E" w:rsidRPr="00C47CDB" w:rsidRDefault="00C8048E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14:paraId="3BFE7C29" w14:textId="7B725DE1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Начальник сектору, державни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 інспектор з державного контролю за використанням та охороною земель земельного відділу має право: </w:t>
      </w:r>
    </w:p>
    <w:p w14:paraId="3BFE7C2A" w14:textId="3ACB5B77" w:rsidR="00C8048E" w:rsidRPr="00C47CDB" w:rsidRDefault="00C47CDB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Вносити пропозиці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з питань своє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безпосередньо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діяльності і відділу в цілому. </w:t>
      </w:r>
    </w:p>
    <w:p w14:paraId="3BFE7C2B" w14:textId="336D5132" w:rsidR="00C8048E" w:rsidRPr="00C47CDB" w:rsidRDefault="00C47CDB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 xml:space="preserve">Брати участь у нарадах з питань, що стосуються 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>ого службово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діяльності.</w:t>
      </w:r>
    </w:p>
    <w:p w14:paraId="3BFE7C2C" w14:textId="79EC1700" w:rsidR="00C8048E" w:rsidRPr="00C47CDB" w:rsidRDefault="00C47CDB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За дорученням представляти відділ в інших органах виконавчо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влади з питань, що стосується земельних відносин. </w:t>
      </w:r>
    </w:p>
    <w:p w14:paraId="3BFE7C2D" w14:textId="0ACB06CD" w:rsidR="00C8048E" w:rsidRPr="00C47CDB" w:rsidRDefault="00C47CDB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В установленому порядку готувати запити на безкоштовне отримання від органів виконавчо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влади, підприємств, установ та організаці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, громадських об'єднань необхідних статистичних та оперативних даних, звітів, інформацію та матеріали, необхідних для виконання службових обов’язків. </w:t>
      </w:r>
    </w:p>
    <w:p w14:paraId="3BFE7C2E" w14:textId="003E9CBA" w:rsidR="00C8048E" w:rsidRPr="00C47CDB" w:rsidRDefault="00C47CDB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Зді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>снювати у межах наданих повноважень особисти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 при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>ом громадян з питань, що належить до діяльності відділу.</w:t>
      </w:r>
    </w:p>
    <w:p w14:paraId="3BFE7C2F" w14:textId="4C93A54D" w:rsidR="00C8048E" w:rsidRPr="00C47CDB" w:rsidRDefault="00C47CDB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 xml:space="preserve">Вимагати проведення службового розслідування з метою зняття безпідставних, на 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ого думку, звинувачень або підозри, в необхідних випадках – давати особисті пояснення. </w:t>
      </w:r>
    </w:p>
    <w:p w14:paraId="3BFE7C30" w14:textId="6447FA55" w:rsidR="00C8048E" w:rsidRPr="00C47CDB" w:rsidRDefault="00C47CDB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На соціальни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 та правови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 захист.</w:t>
      </w:r>
    </w:p>
    <w:p w14:paraId="3BFE7C31" w14:textId="412222CC" w:rsidR="00C8048E" w:rsidRPr="00C47CDB" w:rsidRDefault="00C47CDB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На здорові, безпечні та належні для високопродуктивно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роботи умови праці.</w:t>
      </w:r>
    </w:p>
    <w:p w14:paraId="3BFE7C32" w14:textId="1FABD95E" w:rsidR="00C8048E" w:rsidRPr="00C47CDB" w:rsidRDefault="00C47CDB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Захищати сво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законні права та інтереси у вищих за посадою керівників, в органах вищого рівня та у судовому порядку. </w:t>
      </w:r>
    </w:p>
    <w:p w14:paraId="3BFE7C33" w14:textId="77777777" w:rsidR="00C8048E" w:rsidRPr="00C47CDB" w:rsidRDefault="00C8048E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14:paraId="3BFE7C34" w14:textId="77777777" w:rsidR="00C8048E" w:rsidRPr="00C47CDB" w:rsidRDefault="00C47CDB">
      <w:pPr>
        <w:pStyle w:val="a6"/>
        <w:ind w:firstLine="567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47CDB">
        <w:rPr>
          <w:rFonts w:ascii="Arial" w:hAnsi="Arial" w:cs="Arial"/>
          <w:b/>
          <w:bCs/>
          <w:caps/>
          <w:sz w:val="24"/>
          <w:szCs w:val="24"/>
        </w:rPr>
        <w:t xml:space="preserve">Відповідальність </w:t>
      </w:r>
    </w:p>
    <w:p w14:paraId="3BFE7C35" w14:textId="77777777" w:rsidR="00C8048E" w:rsidRPr="00C47CDB" w:rsidRDefault="00C8048E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14:paraId="3BFE7C36" w14:textId="2AB833DF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Начальник сектору, державни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 інспектор з державного контролю за використанням та охороною земель земельного відділу несе відповідальність за: </w:t>
      </w:r>
    </w:p>
    <w:p w14:paraId="3BFE7C37" w14:textId="159B93F4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 xml:space="preserve">1. Неякісне виконання розпорядчих та інструктивних документів, які є обов’язковими відповідно до регламентів ____________ ради та </w:t>
      </w:r>
      <w:r w:rsidR="00F37BDC" w:rsidRPr="00C47CDB">
        <w:rPr>
          <w:rFonts w:ascii="Arial" w:hAnsi="Arial" w:cs="Arial"/>
          <w:sz w:val="24"/>
          <w:szCs w:val="24"/>
        </w:rPr>
        <w:t>її</w:t>
      </w:r>
      <w:r w:rsidRPr="00C47CDB">
        <w:rPr>
          <w:rFonts w:ascii="Arial" w:hAnsi="Arial" w:cs="Arial"/>
          <w:sz w:val="24"/>
          <w:szCs w:val="24"/>
        </w:rPr>
        <w:t xml:space="preserve"> виконавчого комітету. </w:t>
      </w:r>
    </w:p>
    <w:p w14:paraId="3BFE7C38" w14:textId="6EEF402F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2. Неякісне і несвоєчасне виконання посадових обов’язків, завдань (функці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>), покладених на начальника сектору, державни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 інспектор з державного контролю за використанням та охороною земель земельного відділу.</w:t>
      </w:r>
    </w:p>
    <w:p w14:paraId="3BFE7C39" w14:textId="6474530F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3. Достовірність, правильність наданих матеріалів, інформаці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, звітів тощо. </w:t>
      </w:r>
    </w:p>
    <w:p w14:paraId="3BFE7C3A" w14:textId="5A79D57A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4. Збереження документаці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>, яка наді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>шла або виникла під час діяльності відділу та сектору, а також за схоронність документаці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виготовлено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в процесі діяльності відділу та сектору. </w:t>
      </w:r>
    </w:p>
    <w:p w14:paraId="3BFE7C3B" w14:textId="7D82549A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5. Порушення Правил внутрішнього трудового розпорядку та трудово</w:t>
      </w:r>
      <w:r w:rsidR="00F37BDC" w:rsidRPr="00C47CDB">
        <w:rPr>
          <w:rFonts w:ascii="Arial" w:hAnsi="Arial" w:cs="Arial"/>
          <w:sz w:val="24"/>
          <w:szCs w:val="24"/>
        </w:rPr>
        <w:t>ї</w:t>
      </w:r>
      <w:r w:rsidRPr="00C47CDB">
        <w:rPr>
          <w:rFonts w:ascii="Arial" w:hAnsi="Arial" w:cs="Arial"/>
          <w:sz w:val="24"/>
          <w:szCs w:val="24"/>
        </w:rPr>
        <w:t xml:space="preserve"> дисципліни. </w:t>
      </w:r>
    </w:p>
    <w:p w14:paraId="3BFE7C3C" w14:textId="1D794364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6. Порушення пов’язані з при</w:t>
      </w:r>
      <w:r w:rsidR="00F37BDC" w:rsidRPr="00C47CDB">
        <w:rPr>
          <w:rFonts w:ascii="Arial" w:hAnsi="Arial" w:cs="Arial"/>
          <w:sz w:val="24"/>
          <w:szCs w:val="24"/>
        </w:rPr>
        <w:t>й</w:t>
      </w:r>
      <w:r w:rsidRPr="00C47CDB">
        <w:rPr>
          <w:rFonts w:ascii="Arial" w:hAnsi="Arial" w:cs="Arial"/>
          <w:sz w:val="24"/>
          <w:szCs w:val="24"/>
        </w:rPr>
        <w:t xml:space="preserve">няттям на службу в органи місцевого самоврядування та проходженням служби. </w:t>
      </w:r>
    </w:p>
    <w:p w14:paraId="3BFE7C3D" w14:textId="77777777" w:rsidR="00C8048E" w:rsidRDefault="00C8048E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14:paraId="110B7A7D" w14:textId="77777777" w:rsidR="00C47CDB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14:paraId="3BFE7C3E" w14:textId="2BD995DF" w:rsidR="00C8048E" w:rsidRPr="00C47CDB" w:rsidRDefault="00C47CD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47CDB">
        <w:rPr>
          <w:rFonts w:ascii="Arial" w:hAnsi="Arial" w:cs="Arial"/>
          <w:sz w:val="24"/>
          <w:szCs w:val="24"/>
        </w:rPr>
        <w:t>__________________________                  __________________________________</w:t>
      </w:r>
    </w:p>
    <w:sectPr w:rsidR="00C8048E" w:rsidRPr="00C47CD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1F5A" w14:textId="77777777" w:rsidR="006F30C8" w:rsidRDefault="006F30C8">
      <w:r>
        <w:separator/>
      </w:r>
    </w:p>
  </w:endnote>
  <w:endnote w:type="continuationSeparator" w:id="0">
    <w:p w14:paraId="33653F71" w14:textId="77777777" w:rsidR="006F30C8" w:rsidRDefault="006F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7C40" w14:textId="77777777" w:rsidR="00C8048E" w:rsidRDefault="00C804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D586" w14:textId="77777777" w:rsidR="006F30C8" w:rsidRDefault="006F30C8">
      <w:r>
        <w:separator/>
      </w:r>
    </w:p>
  </w:footnote>
  <w:footnote w:type="continuationSeparator" w:id="0">
    <w:p w14:paraId="53257E5E" w14:textId="77777777" w:rsidR="006F30C8" w:rsidRDefault="006F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7C3F" w14:textId="77777777" w:rsidR="00C8048E" w:rsidRDefault="00C804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50135"/>
    <w:multiLevelType w:val="hybridMultilevel"/>
    <w:tmpl w:val="F068750A"/>
    <w:numStyleLink w:val="a"/>
  </w:abstractNum>
  <w:abstractNum w:abstractNumId="1" w15:restartNumberingAfterBreak="0">
    <w:nsid w:val="2DF708E3"/>
    <w:multiLevelType w:val="hybridMultilevel"/>
    <w:tmpl w:val="5A525164"/>
    <w:styleLink w:val="a0"/>
    <w:lvl w:ilvl="0" w:tplc="FE5829DA">
      <w:start w:val="1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CF092">
      <w:start w:val="1"/>
      <w:numFmt w:val="decimal"/>
      <w:lvlText w:val="%2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564DA2">
      <w:start w:val="1"/>
      <w:numFmt w:val="decimal"/>
      <w:lvlText w:val="%3."/>
      <w:lvlJc w:val="left"/>
      <w:pPr>
        <w:tabs>
          <w:tab w:val="num" w:pos="1647"/>
        </w:tabs>
        <w:ind w:left="108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749C4C">
      <w:start w:val="1"/>
      <w:numFmt w:val="decimal"/>
      <w:lvlText w:val="%4."/>
      <w:lvlJc w:val="left"/>
      <w:pPr>
        <w:tabs>
          <w:tab w:val="num" w:pos="2007"/>
        </w:tabs>
        <w:ind w:left="144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9A5AE0">
      <w:start w:val="1"/>
      <w:numFmt w:val="decimal"/>
      <w:lvlText w:val="%5."/>
      <w:lvlJc w:val="left"/>
      <w:pPr>
        <w:tabs>
          <w:tab w:val="num" w:pos="2367"/>
        </w:tabs>
        <w:ind w:left="180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E2A62C">
      <w:start w:val="1"/>
      <w:numFmt w:val="decimal"/>
      <w:lvlText w:val="%6."/>
      <w:lvlJc w:val="left"/>
      <w:pPr>
        <w:tabs>
          <w:tab w:val="num" w:pos="2727"/>
        </w:tabs>
        <w:ind w:left="21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F2E776">
      <w:start w:val="1"/>
      <w:numFmt w:val="decimal"/>
      <w:lvlText w:val="%7."/>
      <w:lvlJc w:val="left"/>
      <w:pPr>
        <w:tabs>
          <w:tab w:val="num" w:pos="3087"/>
        </w:tabs>
        <w:ind w:left="25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085B0C">
      <w:start w:val="1"/>
      <w:numFmt w:val="decimal"/>
      <w:lvlText w:val="%8."/>
      <w:lvlJc w:val="left"/>
      <w:pPr>
        <w:tabs>
          <w:tab w:val="num" w:pos="3447"/>
        </w:tabs>
        <w:ind w:left="288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A63EF4">
      <w:start w:val="1"/>
      <w:numFmt w:val="decimal"/>
      <w:lvlText w:val="%9."/>
      <w:lvlJc w:val="left"/>
      <w:pPr>
        <w:tabs>
          <w:tab w:val="num" w:pos="3807"/>
        </w:tabs>
        <w:ind w:left="324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231FE3"/>
    <w:multiLevelType w:val="hybridMultilevel"/>
    <w:tmpl w:val="F068750A"/>
    <w:styleLink w:val="a"/>
    <w:lvl w:ilvl="0" w:tplc="A300D220">
      <w:start w:val="1"/>
      <w:numFmt w:val="bullet"/>
      <w:lvlText w:val="-"/>
      <w:lvlJc w:val="left"/>
      <w:pPr>
        <w:tabs>
          <w:tab w:val="num" w:pos="807"/>
        </w:tabs>
        <w:ind w:left="240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E94A7E8">
      <w:start w:val="1"/>
      <w:numFmt w:val="bullet"/>
      <w:lvlText w:val="-"/>
      <w:lvlJc w:val="left"/>
      <w:pPr>
        <w:tabs>
          <w:tab w:val="num" w:pos="1047"/>
        </w:tabs>
        <w:ind w:left="480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A88FE9A">
      <w:start w:val="1"/>
      <w:numFmt w:val="bullet"/>
      <w:lvlText w:val="-"/>
      <w:lvlJc w:val="left"/>
      <w:pPr>
        <w:tabs>
          <w:tab w:val="num" w:pos="1287"/>
        </w:tabs>
        <w:ind w:left="720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2E9650">
      <w:start w:val="1"/>
      <w:numFmt w:val="bullet"/>
      <w:lvlText w:val="-"/>
      <w:lvlJc w:val="left"/>
      <w:pPr>
        <w:tabs>
          <w:tab w:val="num" w:pos="1527"/>
        </w:tabs>
        <w:ind w:left="960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7B6145A">
      <w:start w:val="1"/>
      <w:numFmt w:val="bullet"/>
      <w:lvlText w:val="-"/>
      <w:lvlJc w:val="left"/>
      <w:pPr>
        <w:tabs>
          <w:tab w:val="num" w:pos="1767"/>
        </w:tabs>
        <w:ind w:left="1200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5F0B3A4">
      <w:start w:val="1"/>
      <w:numFmt w:val="bullet"/>
      <w:lvlText w:val="-"/>
      <w:lvlJc w:val="left"/>
      <w:pPr>
        <w:tabs>
          <w:tab w:val="num" w:pos="2007"/>
        </w:tabs>
        <w:ind w:left="1440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5102EF0">
      <w:start w:val="1"/>
      <w:numFmt w:val="bullet"/>
      <w:lvlText w:val="-"/>
      <w:lvlJc w:val="left"/>
      <w:pPr>
        <w:tabs>
          <w:tab w:val="num" w:pos="2247"/>
        </w:tabs>
        <w:ind w:left="1680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C76237A">
      <w:start w:val="1"/>
      <w:numFmt w:val="bullet"/>
      <w:lvlText w:val="-"/>
      <w:lvlJc w:val="left"/>
      <w:pPr>
        <w:tabs>
          <w:tab w:val="num" w:pos="2487"/>
        </w:tabs>
        <w:ind w:left="1920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AB4F5D8">
      <w:start w:val="1"/>
      <w:numFmt w:val="bullet"/>
      <w:lvlText w:val="-"/>
      <w:lvlJc w:val="left"/>
      <w:pPr>
        <w:tabs>
          <w:tab w:val="num" w:pos="2727"/>
        </w:tabs>
        <w:ind w:left="2160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79951EB2"/>
    <w:multiLevelType w:val="hybridMultilevel"/>
    <w:tmpl w:val="5A525164"/>
    <w:numStyleLink w:val="a0"/>
  </w:abstractNum>
  <w:num w:numId="1" w16cid:durableId="2040548926">
    <w:abstractNumId w:val="2"/>
  </w:num>
  <w:num w:numId="2" w16cid:durableId="2082822449">
    <w:abstractNumId w:val="0"/>
  </w:num>
  <w:num w:numId="3" w16cid:durableId="1965454294">
    <w:abstractNumId w:val="1"/>
  </w:num>
  <w:num w:numId="4" w16cid:durableId="862404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8E"/>
    <w:rsid w:val="004B5BDA"/>
    <w:rsid w:val="006D1099"/>
    <w:rsid w:val="006F30C8"/>
    <w:rsid w:val="00C437A1"/>
    <w:rsid w:val="00C47CDB"/>
    <w:rsid w:val="00C8048E"/>
    <w:rsid w:val="00EB7374"/>
    <w:rsid w:val="00F3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BF1"/>
  <w15:docId w15:val="{BD66F249-C921-4995-8125-23ED674A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Штрихове"/>
    <w:pPr>
      <w:numPr>
        <w:numId w:val="1"/>
      </w:numPr>
    </w:pPr>
  </w:style>
  <w:style w:type="numbering" w:customStyle="1" w:styleId="a0">
    <w:name w:val="Номери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5061</Words>
  <Characters>2886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Vira</cp:lastModifiedBy>
  <cp:revision>4</cp:revision>
  <dcterms:created xsi:type="dcterms:W3CDTF">2023-02-15T11:19:00Z</dcterms:created>
  <dcterms:modified xsi:type="dcterms:W3CDTF">2023-02-21T09:14:00Z</dcterms:modified>
</cp:coreProperties>
</file>